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"/>
        <w:tblW w:w="138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5"/>
        <w:gridCol w:w="8"/>
        <w:gridCol w:w="4530"/>
        <w:gridCol w:w="4668"/>
      </w:tblGrid>
      <w:tr w:rsidR="00C96CCC" w:rsidTr="00C96CCC">
        <w:trPr>
          <w:jc w:val="center"/>
        </w:trPr>
        <w:tc>
          <w:tcPr>
            <w:tcW w:w="4605" w:type="dxa"/>
            <w:tcBorders>
              <w:right w:val="single" w:sz="4" w:space="0" w:color="auto"/>
            </w:tcBorders>
          </w:tcPr>
          <w:p w:rsidR="00C96CCC" w:rsidRPr="00C96CCC" w:rsidRDefault="00011AFE" w:rsidP="00C96C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SECONDARIA</w:t>
            </w:r>
          </w:p>
        </w:tc>
        <w:tc>
          <w:tcPr>
            <w:tcW w:w="9206" w:type="dxa"/>
            <w:gridSpan w:val="3"/>
            <w:tcBorders>
              <w:left w:val="single" w:sz="4" w:space="0" w:color="auto"/>
            </w:tcBorders>
          </w:tcPr>
          <w:p w:rsidR="00C96CCC" w:rsidRDefault="001775C3" w:rsidP="00C96CCC">
            <w:pPr>
              <w:ind w:left="2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FINE </w:t>
            </w:r>
            <w:r w:rsidR="00011A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SECONDARIA DI PRIMO GRADO</w:t>
            </w:r>
          </w:p>
          <w:p w:rsidR="00C96CCC" w:rsidRDefault="00C96CCC">
            <w:pPr>
              <w:jc w:val="center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  <w:tcBorders>
              <w:right w:val="single" w:sz="4" w:space="0" w:color="auto"/>
            </w:tcBorders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2"/>
            <w:tcBorders>
              <w:left w:val="single" w:sz="4" w:space="0" w:color="auto"/>
            </w:tcBorders>
          </w:tcPr>
          <w:p w:rsidR="00402CFF" w:rsidRDefault="00402CFF">
            <w:pPr>
              <w:jc w:val="both"/>
            </w:pPr>
          </w:p>
          <w:p w:rsidR="00BF256C" w:rsidRDefault="00831CEB" w:rsidP="009E290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</w:t>
            </w:r>
            <w:r w:rsidR="00BF2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MPETENZ</w:t>
            </w:r>
            <w:r w:rsidR="000530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 SOCIALI E CIVICHE</w:t>
            </w: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2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2"/>
          </w:tcPr>
          <w:p w:rsidR="00A543C1" w:rsidRPr="00A543C1" w:rsidRDefault="00A543C1" w:rsidP="00A543C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3C1">
              <w:rPr>
                <w:rFonts w:ascii="Times New Roman" w:hAnsi="Times New Roman" w:cs="Times New Roman"/>
                <w:bCs/>
                <w:sz w:val="24"/>
                <w:szCs w:val="24"/>
              </w:rPr>
              <w:t>Riconoscere i meccanismi, i sistemi e le organizzazioni che regolano i rapporti tra i cittadini (istituzioni statali e civili), a livello locale e nazionale, e i principi che costituiscono il fondamento etico delle società (equità, libertà, coesione sociale), sanciti dalla Costituzione, dal diritto nazionale e dalle Carte Internazionali</w:t>
            </w:r>
          </w:p>
          <w:p w:rsidR="00A543C1" w:rsidRPr="00A543C1" w:rsidRDefault="00A543C1" w:rsidP="00A543C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3C1">
              <w:rPr>
                <w:rFonts w:ascii="Times New Roman" w:hAnsi="Times New Roman" w:cs="Times New Roman"/>
                <w:bCs/>
                <w:sz w:val="24"/>
                <w:szCs w:val="24"/>
              </w:rPr>
              <w:t>A partire dall’ambito scolastico, assumere responsabilmente atteggiamenti, ruoli e comportamenti di partecipazione attiva e comunitaria</w:t>
            </w:r>
          </w:p>
          <w:p w:rsidR="00A543C1" w:rsidRPr="00A543C1" w:rsidRDefault="00A543C1" w:rsidP="00A543C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3C1">
              <w:rPr>
                <w:rFonts w:ascii="Times New Roman" w:hAnsi="Times New Roman" w:cs="Times New Roman"/>
                <w:bCs/>
                <w:sz w:val="24"/>
                <w:szCs w:val="24"/>
              </w:rPr>
              <w:t>Sviluppare modalità consapevoli di esercizio della convivenza civile, di consapevolezza di sé, rispetto delle diversità, di confronto responsabile e di dialogo; comprendere il significato delle regole per la convivenza sociale e rispettarle-</w:t>
            </w:r>
          </w:p>
          <w:p w:rsidR="00402CFF" w:rsidRPr="00FE46C9" w:rsidRDefault="00A543C1" w:rsidP="00A543C1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3C1">
              <w:rPr>
                <w:rFonts w:ascii="Times New Roman" w:hAnsi="Times New Roman" w:cs="Times New Roman"/>
                <w:bCs/>
                <w:sz w:val="24"/>
                <w:szCs w:val="24"/>
              </w:rPr>
              <w:t>Esprimere e manifestare riflessioni sui valori della convivenza, della democrazia e della cittadinanza; riconoscersi e agire come persona in grado di intervenire sulla realtà apportando un proprio originale e positivo contributo</w:t>
            </w:r>
          </w:p>
        </w:tc>
      </w:tr>
      <w:tr w:rsidR="00402CFF" w:rsidTr="00BF256C">
        <w:trPr>
          <w:trHeight w:val="380"/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tcBorders>
              <w:bottom w:val="single" w:sz="4" w:space="0" w:color="000000"/>
            </w:tcBorders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713E14" w:rsidTr="00BF256C">
        <w:trPr>
          <w:trHeight w:val="540"/>
          <w:jc w:val="center"/>
        </w:trPr>
        <w:tc>
          <w:tcPr>
            <w:tcW w:w="4613" w:type="dxa"/>
            <w:gridSpan w:val="2"/>
          </w:tcPr>
          <w:p w:rsidR="00FE46C9" w:rsidRPr="00FE46C9" w:rsidRDefault="00FE46C9" w:rsidP="00FE46C9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t>Riconoscere i meccanismi, i sistemi e le organizzazioni che regolano i rapporti tra i cittadini (istituzioni statali e civili), a livello locale e nazionale, e i principi che costituiscono il fondamento etico delle società (equità, libertà, coesione sociale), sanciti dalla Costituzione, dal diritto nazionale e dalle Carte Internazionali</w:t>
            </w:r>
          </w:p>
          <w:p w:rsidR="00FE46C9" w:rsidRDefault="00FE46C9" w:rsidP="00FE46C9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290A" w:rsidRPr="00FE46C9" w:rsidRDefault="009E290A" w:rsidP="00FE46C9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E46C9" w:rsidRPr="00FE46C9" w:rsidRDefault="00FE46C9" w:rsidP="00FE46C9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t>A partire dall’ambito scolastico, assumere responsabilmente atteggiamenti, ruoli e comportamenti di partecipazione attiva e comunitaria</w:t>
            </w:r>
          </w:p>
          <w:p w:rsidR="009E290A" w:rsidRDefault="00FE46C9" w:rsidP="009E290A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Sviluppare modalità consapevoli di esercizio della convivenza civile, di consapevolezza di sé, rispetto delle diversità, di confronto responsabile e di dialogo; comprendere il significato delle regole per la convivenza sociale e rispettarle.</w:t>
            </w:r>
          </w:p>
          <w:p w:rsidR="009E290A" w:rsidRDefault="009E290A" w:rsidP="009E290A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E290A" w:rsidRDefault="009E290A" w:rsidP="009E290A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3E14" w:rsidRPr="009E290A" w:rsidRDefault="00FE46C9" w:rsidP="009E290A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6C9">
              <w:rPr>
                <w:rFonts w:ascii="Times New Roman" w:hAnsi="Times New Roman" w:cs="Times New Roman"/>
                <w:bCs/>
                <w:sz w:val="24"/>
                <w:szCs w:val="24"/>
              </w:rPr>
              <w:t>Esprimere e manifestare riflessioni sui valori della convivenza, della democrazia e della cittadinanza; riconoscersi e agire come persona in grado di intervenire sulla realtà apportando un proprio originale e positivo contributo</w:t>
            </w:r>
          </w:p>
          <w:p w:rsidR="00713E14" w:rsidRDefault="00713E14" w:rsidP="000F1C1B">
            <w:pPr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Comprendere e spiegare la funzione regolatrice delle norme a favore dell’esercizio dei diritti di ciascun cittadino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Individuare e indicare gli elementi identificativi di una norma e la sua struttura; spiegare la differenza tra patto, regola, norma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Indicare la natura, gli scopi e l’attività delle istituzioni pubbliche, prima fra tutte di quelle più vicine (Comune, Provincia, Regione)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Distinguere gli Organi dello Stato e le loro funzioni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Distinguere alcuni principi fondamentali della Costituzione italiana e collegarli all’esperienza quotidiana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Leggere e analizzare gli articoli della </w:t>
            </w:r>
            <w:r w:rsidRPr="00011A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Costituzione che maggiormente si collegano alla vita sociale quotidiana e collegarli alla propria esperienza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Conoscere e osservare i fondamentali principi per la sicurezza e la prevenzione dei rischi in tutti i contesti di vita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Conoscere e osservare le norme del codice della strada come pedoni e come ciclisti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Identificare i principali organismi umanitari, di cooperazione e di tutela dell’ambiente su scala locale, nazionale ed internazionale </w:t>
            </w:r>
          </w:p>
          <w:p w:rsidR="00011AFE" w:rsidRPr="009E290A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E290A">
              <w:rPr>
                <w:rFonts w:ascii="Times New Roman" w:eastAsia="Times New Roman" w:hAnsi="Times New Roman" w:cs="Times New Roman"/>
                <w:color w:val="auto"/>
              </w:rPr>
              <w:t xml:space="preserve">Comprendere e spiegare il ruolo della tassazione per il funzionamento dello stato e la vita della collettività </w:t>
            </w:r>
          </w:p>
          <w:p w:rsidR="00011AFE" w:rsidRPr="009E290A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E290A">
              <w:rPr>
                <w:rFonts w:ascii="Times New Roman" w:eastAsia="Times New Roman" w:hAnsi="Times New Roman" w:cs="Times New Roman"/>
                <w:color w:val="auto"/>
              </w:rPr>
              <w:t xml:space="preserve">Distinguere, all’interno dei mass media, le varie modalità di informazione, comprendendo le differenze fra carta stampata, canale radiotelevisivo, Internet </w:t>
            </w:r>
          </w:p>
          <w:p w:rsid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Partecipare all’attività di gruppo confrontandosi con gli altri, valutando le varie soluzioni proposte, assumendo e portando a termine ruoli e compiti; prestare aiuto a compagni e persone in difficoltà </w:t>
            </w:r>
          </w:p>
          <w:p w:rsidR="009E290A" w:rsidRPr="00011AFE" w:rsidRDefault="009E290A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Prendere consapevolezza del progresso personale e scolastico.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Contribuire alla stesura del regolamento della classe e al rispetto di esso ed in generale alla vita della scuola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Impegnarsi con rigore nello svolgere ruoli e compiti assunti in attività collettive e di rilievo sociale adeguati alle proprie capacità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Affrontare con metodo e ricerca soluzioni rigorose per le difficoltà incontrate nello svolgimento di un compito con responsabilità sociale, esprimendo anche valutazioni critiche ed autocritiche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Comprendere e spiegare in modo semplice il </w:t>
            </w:r>
            <w:r w:rsidRPr="00011AF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ruolo potenzialmente condizionante della pubblicità e delle mode e la conseguente necessità di non essere consumatore passivo e inconsapevole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Agire in contesti formali e informali rispettando le regole della convivenza civile, le differenze sociali, di genere, di provenienza </w:t>
            </w:r>
          </w:p>
          <w:p w:rsid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E290A">
              <w:rPr>
                <w:rFonts w:ascii="Times New Roman" w:eastAsia="Times New Roman" w:hAnsi="Times New Roman" w:cs="Times New Roman"/>
                <w:color w:val="auto"/>
              </w:rPr>
              <w:t xml:space="preserve">Agire rispettando le attrezzature proprie e altrui, le cose pubbliche, l’ambiente; adottare comportamenti di utilizzo oculato delle risorse naturali ed energetiche </w:t>
            </w:r>
          </w:p>
          <w:p w:rsidR="009E290A" w:rsidRPr="009E290A" w:rsidRDefault="009E290A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Sviluppare autostima ed autoefficacia.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Individuare i propri punti di forza e di debolezza; le proprie modalità comunicative e di comportamento prevalenti in determinate situazioni e valutarne l’efficacia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Confrontarsi con gli altri ascoltando e rispettando il punto di vista altrui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Adattare i propri comportamenti e le proprie modalità comunicative ai diversi contesti in cui si agisce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Controllare le proprie reazioni di fronte a contrarietà, frustrazioni, insuccessi, adottando modalità assertive di comunicazione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Contribuire alla formulazione di proposte per migliorare alcuni aspetti dell’attività scolastica e delle associazioni e gruppi frequentati </w:t>
            </w:r>
          </w:p>
          <w:p w:rsidR="006F2454" w:rsidRPr="00011AFE" w:rsidRDefault="00011AFE" w:rsidP="00011AFE">
            <w:pPr>
              <w:pStyle w:val="Paragrafoelenco"/>
              <w:numPr>
                <w:ilvl w:val="0"/>
                <w:numId w:val="42"/>
              </w:numPr>
              <w:ind w:left="138" w:hanging="138"/>
              <w:jc w:val="both"/>
              <w:rPr>
                <w:rFonts w:ascii="Times New Roman" w:hAnsi="Times New Roman" w:cs="Times New Roman"/>
                <w:color w:val="231F20"/>
                <w:lang w:eastAsia="en-US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Manifestare disponibilità a partecipare ad attività promosse da associazioni culturali, sociali, umanitarie, ambientali, offrendo un proprio contributo, sviluppando capacità relazionali valorizzando attitudini personali </w:t>
            </w:r>
          </w:p>
        </w:tc>
        <w:tc>
          <w:tcPr>
            <w:tcW w:w="4668" w:type="dxa"/>
          </w:tcPr>
          <w:p w:rsidR="00011AFE" w:rsidRPr="009E290A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E290A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Significato di “gruppo” e di “comunità”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Significato di essere “cittadino”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Significato dell’essere cittadini del mondo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Differenza fra “comunità” e “società” </w:t>
            </w:r>
          </w:p>
          <w:p w:rsidR="00011AFE" w:rsidRPr="009E290A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E290A">
              <w:rPr>
                <w:rFonts w:ascii="Times New Roman" w:eastAsia="Times New Roman" w:hAnsi="Times New Roman" w:cs="Times New Roman"/>
                <w:color w:val="auto"/>
              </w:rPr>
              <w:t xml:space="preserve">Significato dei concetti di diritto, dovere, di responsabilità, di identità, di libertà </w:t>
            </w:r>
          </w:p>
          <w:p w:rsidR="00011AFE" w:rsidRPr="009E290A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E290A">
              <w:rPr>
                <w:rFonts w:ascii="Times New Roman" w:eastAsia="Times New Roman" w:hAnsi="Times New Roman" w:cs="Times New Roman"/>
                <w:color w:val="auto"/>
              </w:rPr>
              <w:t xml:space="preserve">Significato dei termini: regola, norma, patto, sanzione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Significato dei termini tolleranza, lealtà e rispetto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Ruoli familiari, sociali, professionali, pubblici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>Diverse forme di esercizio</w:t>
            </w:r>
            <w:r w:rsidR="000969C8"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di democrazia nella scuola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Strutture presenti sul territorio, atte a </w:t>
            </w:r>
            <w:r w:rsidRPr="000969C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migliorare e ad offrire dei servizi utili alla cittadinanza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Principi generali dell’organizzazioni del Comune, della Provincia, della Regione e dello Stato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>La Costituzione: principi fondamentali e relativi</w:t>
            </w:r>
            <w:r w:rsidR="000969C8"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alla struttura, organi dello Stato e loro funzioni, formazione delle leggi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Organi del Comune, della Provincia, della Regione, dello Stato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Carte dei Diritti dell’Uomo e dell’Infanzia e i contenuti </w:t>
            </w:r>
          </w:p>
          <w:p w:rsidR="00011AFE" w:rsidRPr="00011AFE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1AFE">
              <w:rPr>
                <w:rFonts w:ascii="Times New Roman" w:eastAsia="Times New Roman" w:hAnsi="Times New Roman" w:cs="Times New Roman"/>
                <w:color w:val="auto"/>
              </w:rPr>
              <w:t xml:space="preserve">Norme fondamentali relative al codice stradale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Principi di sicurezza, di prevenzione dei rischi e di antinfortunistica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>Organi locali, nazionali e internazionali, per scopi</w:t>
            </w:r>
            <w:r w:rsidR="000969C8"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sociali, economici, politici, umanitari e di difesa dell’ambiente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>Elementi di geografia utili a comprendere fenomeni sociali: migrazioni, distribuzione delle risorse, popolazioni del mondo e loro usi;</w:t>
            </w:r>
            <w:r w:rsidR="000969C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clima, territorio e influssi umani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Caratteristiche dell’informazione nella società contemporanea e mezzi di informazione </w:t>
            </w:r>
          </w:p>
          <w:p w:rsidR="00011AFE" w:rsidRPr="000969C8" w:rsidRDefault="00011AFE" w:rsidP="00011AFE">
            <w:pPr>
              <w:pStyle w:val="Paragrafoelenco"/>
              <w:numPr>
                <w:ilvl w:val="0"/>
                <w:numId w:val="43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969C8">
              <w:rPr>
                <w:rFonts w:ascii="Times New Roman" w:eastAsia="Times New Roman" w:hAnsi="Times New Roman" w:cs="Times New Roman"/>
                <w:color w:val="auto"/>
              </w:rPr>
              <w:t xml:space="preserve">Elementi generali di comunicazione interpersonale verbale e non verbale </w:t>
            </w:r>
          </w:p>
          <w:p w:rsidR="00713E14" w:rsidRPr="00011AFE" w:rsidRDefault="00713E14" w:rsidP="000969C8">
            <w:pPr>
              <w:ind w:left="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C96CCC" w:rsidRDefault="00C96CCC" w:rsidP="005634D3"/>
    <w:p w:rsidR="005634D3" w:rsidRDefault="005634D3" w:rsidP="005634D3"/>
    <w:p w:rsidR="005634D3" w:rsidRDefault="005634D3" w:rsidP="005634D3"/>
    <w:tbl>
      <w:tblPr>
        <w:tblW w:w="141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379"/>
        <w:gridCol w:w="4219"/>
        <w:gridCol w:w="8"/>
        <w:gridCol w:w="7"/>
        <w:gridCol w:w="379"/>
        <w:gridCol w:w="7"/>
        <w:gridCol w:w="4137"/>
        <w:gridCol w:w="7"/>
        <w:gridCol w:w="379"/>
        <w:gridCol w:w="4282"/>
        <w:gridCol w:w="8"/>
        <w:gridCol w:w="379"/>
      </w:tblGrid>
      <w:tr w:rsidR="005634D3" w:rsidTr="00EF6377">
        <w:trPr>
          <w:gridBefore w:val="1"/>
          <w:gridAfter w:val="1"/>
          <w:wBefore w:w="7" w:type="dxa"/>
          <w:wAfter w:w="379" w:type="dxa"/>
          <w:jc w:val="center"/>
        </w:trPr>
        <w:tc>
          <w:tcPr>
            <w:tcW w:w="4605" w:type="dxa"/>
            <w:gridSpan w:val="3"/>
            <w:tcBorders>
              <w:right w:val="single" w:sz="4" w:space="0" w:color="auto"/>
            </w:tcBorders>
          </w:tcPr>
          <w:p w:rsidR="005634D3" w:rsidRPr="00C96CCC" w:rsidRDefault="005634D3" w:rsidP="00563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SCUOLA  SECONDARIA</w:t>
            </w:r>
          </w:p>
        </w:tc>
        <w:tc>
          <w:tcPr>
            <w:tcW w:w="9206" w:type="dxa"/>
            <w:gridSpan w:val="8"/>
            <w:tcBorders>
              <w:left w:val="single" w:sz="4" w:space="0" w:color="auto"/>
            </w:tcBorders>
          </w:tcPr>
          <w:p w:rsidR="005634D3" w:rsidRDefault="005634D3" w:rsidP="005634D3">
            <w:pPr>
              <w:spacing w:after="0"/>
              <w:ind w:left="2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FINE SCUOLA SECONDARIA DI PRIMO GRADO</w:t>
            </w:r>
          </w:p>
        </w:tc>
      </w:tr>
      <w:tr w:rsidR="005634D3" w:rsidTr="00EF6377">
        <w:trPr>
          <w:gridBefore w:val="1"/>
          <w:gridAfter w:val="1"/>
          <w:wBefore w:w="7" w:type="dxa"/>
          <w:wAfter w:w="379" w:type="dxa"/>
          <w:jc w:val="center"/>
        </w:trPr>
        <w:tc>
          <w:tcPr>
            <w:tcW w:w="4613" w:type="dxa"/>
            <w:gridSpan w:val="4"/>
            <w:tcBorders>
              <w:right w:val="single" w:sz="4" w:space="0" w:color="auto"/>
            </w:tcBorders>
          </w:tcPr>
          <w:p w:rsidR="005634D3" w:rsidRDefault="005634D3" w:rsidP="005634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34D3" w:rsidRDefault="005634D3" w:rsidP="005634D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7"/>
            <w:tcBorders>
              <w:left w:val="single" w:sz="4" w:space="0" w:color="auto"/>
            </w:tcBorders>
          </w:tcPr>
          <w:p w:rsidR="005634D3" w:rsidRDefault="005634D3" w:rsidP="005634D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634D3" w:rsidRDefault="005634D3" w:rsidP="005634D3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DIGITALE</w:t>
            </w:r>
          </w:p>
        </w:tc>
      </w:tr>
      <w:tr w:rsidR="005634D3" w:rsidTr="00EF6377">
        <w:trPr>
          <w:gridBefore w:val="1"/>
          <w:gridAfter w:val="1"/>
          <w:wBefore w:w="7" w:type="dxa"/>
          <w:wAfter w:w="379" w:type="dxa"/>
          <w:jc w:val="center"/>
        </w:trPr>
        <w:tc>
          <w:tcPr>
            <w:tcW w:w="4613" w:type="dxa"/>
            <w:gridSpan w:val="4"/>
          </w:tcPr>
          <w:p w:rsidR="005634D3" w:rsidRDefault="005634D3" w:rsidP="005634D3">
            <w:pPr>
              <w:widowControl w:val="0"/>
              <w:spacing w:after="0"/>
              <w:jc w:val="center"/>
            </w:pPr>
          </w:p>
          <w:p w:rsidR="005634D3" w:rsidRDefault="005634D3" w:rsidP="005634D3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7"/>
          </w:tcPr>
          <w:p w:rsidR="005634D3" w:rsidRPr="005634D3" w:rsidRDefault="005634D3" w:rsidP="005634D3">
            <w:pPr>
              <w:widowControl w:val="0"/>
              <w:spacing w:after="0"/>
            </w:pPr>
          </w:p>
          <w:p w:rsidR="005634D3" w:rsidRPr="005634D3" w:rsidRDefault="005634D3" w:rsidP="005634D3">
            <w:pPr>
              <w:widowControl w:val="0"/>
              <w:spacing w:after="0"/>
            </w:pPr>
            <w:r w:rsidRPr="005634D3">
              <w:rPr>
                <w:rFonts w:ascii="Times New Roman" w:eastAsia="Times New Roman" w:hAnsi="Times New Roman" w:cs="Times New Roman"/>
              </w:rPr>
              <w:t>Raccomandazione del Parlamento Europeo e del Consiglio 18.12.2006</w:t>
            </w:r>
          </w:p>
          <w:p w:rsidR="005634D3" w:rsidRPr="005634D3" w:rsidRDefault="005634D3" w:rsidP="005634D3">
            <w:pPr>
              <w:widowControl w:val="0"/>
              <w:spacing w:after="0"/>
            </w:pPr>
            <w:r w:rsidRPr="005634D3">
              <w:rPr>
                <w:rFonts w:ascii="Times New Roman" w:eastAsia="Times New Roman" w:hAnsi="Times New Roman" w:cs="Times New Roman"/>
              </w:rPr>
              <w:t>Indicazioni Nazionali per il Curricolo 2012</w:t>
            </w:r>
          </w:p>
        </w:tc>
      </w:tr>
      <w:tr w:rsidR="005634D3" w:rsidTr="00EF6377">
        <w:trPr>
          <w:gridBefore w:val="1"/>
          <w:gridAfter w:val="1"/>
          <w:wBefore w:w="7" w:type="dxa"/>
          <w:wAfter w:w="379" w:type="dxa"/>
          <w:jc w:val="center"/>
        </w:trPr>
        <w:tc>
          <w:tcPr>
            <w:tcW w:w="4613" w:type="dxa"/>
            <w:gridSpan w:val="4"/>
          </w:tcPr>
          <w:p w:rsidR="005634D3" w:rsidRDefault="005634D3" w:rsidP="005634D3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7"/>
          </w:tcPr>
          <w:p w:rsidR="005634D3" w:rsidRPr="005634D3" w:rsidRDefault="005634D3" w:rsidP="005634D3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87" w:hanging="208"/>
              <w:jc w:val="both"/>
              <w:rPr>
                <w:rFonts w:ascii="Times New Roman" w:hAnsi="Times New Roman" w:cs="Times New Roman"/>
                <w:bCs/>
              </w:rPr>
            </w:pPr>
            <w:r w:rsidRPr="005634D3">
              <w:rPr>
                <w:rFonts w:ascii="Times New Roman" w:hAnsi="Times New Roman" w:cs="Times New Roman"/>
                <w:bCs/>
              </w:rPr>
              <w:t>Utilizzare con dimestichezza le più comuni tecnologie dell’informazione e della comunicazione, individuando le soluzioni potenzialmente utili ad un dato contesto applicativo, a partire dall’attività di studio</w:t>
            </w:r>
          </w:p>
          <w:p w:rsidR="005634D3" w:rsidRPr="005634D3" w:rsidRDefault="005634D3" w:rsidP="005634D3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87" w:hanging="208"/>
              <w:jc w:val="both"/>
              <w:rPr>
                <w:rFonts w:ascii="Times New Roman" w:hAnsi="Times New Roman" w:cs="Times New Roman"/>
                <w:bCs/>
              </w:rPr>
            </w:pPr>
            <w:r w:rsidRPr="005634D3">
              <w:rPr>
                <w:rFonts w:ascii="Times New Roman" w:hAnsi="Times New Roman" w:cs="Times New Roman"/>
                <w:bCs/>
              </w:rPr>
              <w:t>Essere consapevole delle potenzialità, dei limiti e dei rischi dell’uso delle tecnologie dell’informazione e della comunicazione, con particolare riferimento al contesto produttivo, culturale e sociale in cui vengono applicate.</w:t>
            </w:r>
          </w:p>
        </w:tc>
      </w:tr>
      <w:tr w:rsidR="005634D3" w:rsidTr="00EF6377">
        <w:trPr>
          <w:gridBefore w:val="1"/>
          <w:gridAfter w:val="1"/>
          <w:wBefore w:w="7" w:type="dxa"/>
          <w:wAfter w:w="379" w:type="dxa"/>
          <w:trHeight w:val="380"/>
          <w:jc w:val="center"/>
        </w:trPr>
        <w:tc>
          <w:tcPr>
            <w:tcW w:w="4613" w:type="dxa"/>
            <w:gridSpan w:val="4"/>
          </w:tcPr>
          <w:p w:rsidR="005634D3" w:rsidRPr="005634D3" w:rsidRDefault="005634D3" w:rsidP="005634D3">
            <w:pPr>
              <w:spacing w:after="0"/>
              <w:jc w:val="center"/>
            </w:pPr>
            <w:r w:rsidRPr="005634D3">
              <w:rPr>
                <w:rFonts w:ascii="Times New Roman" w:eastAsia="Times New Roman" w:hAnsi="Times New Roman" w:cs="Times New Roman"/>
                <w:b/>
              </w:rPr>
              <w:t>COMPETENZE</w:t>
            </w:r>
          </w:p>
        </w:tc>
        <w:tc>
          <w:tcPr>
            <w:tcW w:w="4530" w:type="dxa"/>
            <w:gridSpan w:val="4"/>
            <w:tcBorders>
              <w:bottom w:val="single" w:sz="4" w:space="0" w:color="000000"/>
            </w:tcBorders>
          </w:tcPr>
          <w:p w:rsidR="005634D3" w:rsidRPr="005634D3" w:rsidRDefault="005634D3" w:rsidP="005634D3">
            <w:pPr>
              <w:spacing w:after="0"/>
              <w:jc w:val="center"/>
            </w:pPr>
            <w:r w:rsidRPr="005634D3">
              <w:rPr>
                <w:rFonts w:ascii="Times New Roman" w:eastAsia="Times New Roman" w:hAnsi="Times New Roman" w:cs="Times New Roman"/>
                <w:b/>
              </w:rPr>
              <w:t>ABILITÀ</w:t>
            </w:r>
          </w:p>
        </w:tc>
        <w:tc>
          <w:tcPr>
            <w:tcW w:w="4668" w:type="dxa"/>
            <w:gridSpan w:val="3"/>
          </w:tcPr>
          <w:p w:rsidR="005634D3" w:rsidRPr="005634D3" w:rsidRDefault="005634D3" w:rsidP="005634D3">
            <w:pPr>
              <w:spacing w:after="0"/>
              <w:jc w:val="center"/>
            </w:pPr>
            <w:r w:rsidRPr="005634D3">
              <w:rPr>
                <w:rFonts w:ascii="Times New Roman" w:eastAsia="Times New Roman" w:hAnsi="Times New Roman" w:cs="Times New Roman"/>
                <w:b/>
              </w:rPr>
              <w:t>CONOSCENZE</w:t>
            </w:r>
          </w:p>
        </w:tc>
      </w:tr>
      <w:tr w:rsidR="005634D3" w:rsidTr="00EF6377">
        <w:trPr>
          <w:gridBefore w:val="1"/>
          <w:gridAfter w:val="1"/>
          <w:wBefore w:w="7" w:type="dxa"/>
          <w:wAfter w:w="379" w:type="dxa"/>
          <w:trHeight w:val="540"/>
          <w:jc w:val="center"/>
        </w:trPr>
        <w:tc>
          <w:tcPr>
            <w:tcW w:w="4613" w:type="dxa"/>
            <w:gridSpan w:val="4"/>
          </w:tcPr>
          <w:p w:rsidR="005634D3" w:rsidRDefault="005634D3" w:rsidP="005634D3">
            <w:pPr>
              <w:spacing w:after="0"/>
            </w:pPr>
          </w:p>
          <w:p w:rsidR="005634D3" w:rsidRPr="00BF256C" w:rsidRDefault="005634D3" w:rsidP="005634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Utilizzare con dimestichezza le più comuni tecnologie dell’informazione e della comunicazione, individuando le soluzioni potenzialmente utili ad un dato contesto applicativo, a partire dall’attività di studio</w:t>
            </w:r>
          </w:p>
          <w:p w:rsidR="005634D3" w:rsidRPr="00BF256C" w:rsidRDefault="005634D3" w:rsidP="005634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5634D3" w:rsidRPr="00BF256C" w:rsidRDefault="005634D3" w:rsidP="005634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Essere consapevole delle potenzialità, dei limiti e dei rischi dell’uso delle tecnologie dell’informazione e della comunicazione, con particolare riferimento al contesto produttivo, culturale e sociale in cui vengono applicate</w:t>
            </w:r>
          </w:p>
          <w:p w:rsidR="005634D3" w:rsidRDefault="005634D3" w:rsidP="005634D3">
            <w:pPr>
              <w:spacing w:after="0"/>
              <w:ind w:left="720"/>
              <w:jc w:val="both"/>
            </w:pPr>
          </w:p>
          <w:p w:rsidR="005634D3" w:rsidRDefault="005634D3" w:rsidP="005634D3">
            <w:pPr>
              <w:spacing w:after="0"/>
              <w:jc w:val="both"/>
            </w:pPr>
          </w:p>
          <w:p w:rsidR="005634D3" w:rsidRDefault="005634D3" w:rsidP="005634D3">
            <w:pPr>
              <w:spacing w:after="0"/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0" w:type="dxa"/>
            <w:gridSpan w:val="4"/>
            <w:tcBorders>
              <w:bottom w:val="single" w:sz="4" w:space="0" w:color="auto"/>
            </w:tcBorders>
          </w:tcPr>
          <w:p w:rsidR="005634D3" w:rsidRPr="004E2C29" w:rsidRDefault="005634D3" w:rsidP="005634D3">
            <w:pPr>
              <w:pStyle w:val="Paragrafoelenco"/>
              <w:numPr>
                <w:ilvl w:val="0"/>
                <w:numId w:val="44"/>
              </w:numPr>
              <w:spacing w:after="0"/>
              <w:ind w:left="204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Utilizzare strumenti informatici e di comunicazione per elaborare dati, testi e immagini e produrre documenti in diverse situazioni. 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4"/>
              </w:numPr>
              <w:spacing w:after="0"/>
              <w:ind w:left="204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Conoscere gli elementi basilari che compongono un computer e le relazioni essenziali fra di essi. 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4"/>
              </w:numPr>
              <w:spacing w:after="0"/>
              <w:ind w:left="204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Collegare le modalità di funzionamento dei dispositivi elettronici con le conoscenze scientifiche e tecniche acquisite. 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4"/>
              </w:numPr>
              <w:spacing w:after="0"/>
              <w:ind w:left="204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>Utilizzare materia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li digitali per l’apprendimento.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4"/>
              </w:numPr>
              <w:spacing w:after="0"/>
              <w:ind w:left="204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Utilizzare il PC, periferiche e programmi applicativi 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4"/>
              </w:numPr>
              <w:spacing w:after="0"/>
              <w:ind w:left="204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Utilizzare la rete per scopi di informazione, comunicazione, ricerca e svago 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4"/>
              </w:numPr>
              <w:spacing w:after="0"/>
              <w:ind w:left="204" w:hanging="142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634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Riconoscere potenzialità e rischi connessi all’uso delle tecnologie più comuni, anche informatiche</w:t>
            </w: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668" w:type="dxa"/>
            <w:gridSpan w:val="3"/>
          </w:tcPr>
          <w:p w:rsidR="005634D3" w:rsidRPr="004E2C29" w:rsidRDefault="005634D3" w:rsidP="005634D3">
            <w:pPr>
              <w:pStyle w:val="Paragrafoelenco"/>
              <w:numPr>
                <w:ilvl w:val="0"/>
                <w:numId w:val="45"/>
              </w:numPr>
              <w:spacing w:after="0"/>
              <w:ind w:left="286" w:hanging="28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>Le applicazioni tecnologiche quotidiane e le relative modalità di funzionamento.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5"/>
              </w:numPr>
              <w:spacing w:after="0"/>
              <w:ind w:left="286" w:hanging="28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>I dispositivi informatici di input e output.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5"/>
              </w:numPr>
              <w:spacing w:after="0"/>
              <w:ind w:left="286" w:hanging="28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>Il sistema operativo e i più comuni software applicativi.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5"/>
              </w:numPr>
              <w:spacing w:after="0"/>
              <w:ind w:left="286" w:hanging="28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Procedure per la produzione di testi, ipertesti, presentazioni e utilizzo dei fogli di calcolo. 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5"/>
              </w:numPr>
              <w:spacing w:after="0"/>
              <w:ind w:left="286" w:hanging="28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Procedure di utilizzo di reti informatiche per ottenere dati, fare ricerche, comunicare. 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5"/>
              </w:numPr>
              <w:spacing w:after="0"/>
              <w:ind w:left="286" w:hanging="28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Caratteristiche e potenzialità tecnologiche degli strumenti d’uso più comuni. </w:t>
            </w:r>
          </w:p>
          <w:p w:rsidR="005634D3" w:rsidRPr="004E2C29" w:rsidRDefault="005634D3" w:rsidP="005634D3">
            <w:pPr>
              <w:pStyle w:val="Paragrafoelenco"/>
              <w:numPr>
                <w:ilvl w:val="0"/>
                <w:numId w:val="45"/>
              </w:numPr>
              <w:spacing w:after="0"/>
              <w:ind w:left="286" w:hanging="28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Procedure di utilizzo sicuro e legale di reti informatiche per ottenere dati e comunicare (motori di ricerca, sistemi di comunicazione mobile, email,  chat, social network, protezione degli account, download, diritto d’autore, ecc.) </w:t>
            </w:r>
          </w:p>
          <w:p w:rsidR="005634D3" w:rsidRPr="004E2C29" w:rsidRDefault="005634D3" w:rsidP="008D1B56">
            <w:pPr>
              <w:pStyle w:val="Paragrafoelenco"/>
              <w:numPr>
                <w:ilvl w:val="0"/>
                <w:numId w:val="45"/>
              </w:numPr>
              <w:spacing w:after="0"/>
              <w:ind w:left="286" w:hanging="28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E2C29">
              <w:rPr>
                <w:rFonts w:ascii="Times New Roman" w:eastAsia="Times New Roman" w:hAnsi="Times New Roman" w:cs="Times New Roman"/>
                <w:color w:val="auto"/>
              </w:rPr>
              <w:t xml:space="preserve">Fonti di pericolo e procedure di sicurezza </w:t>
            </w:r>
          </w:p>
        </w:tc>
      </w:tr>
      <w:tr w:rsidR="008D1B56" w:rsidTr="00EF6377">
        <w:tblPrEx>
          <w:jc w:val="left"/>
        </w:tblPrEx>
        <w:trPr>
          <w:gridBefore w:val="2"/>
          <w:wBefore w:w="386" w:type="dxa"/>
        </w:trPr>
        <w:tc>
          <w:tcPr>
            <w:tcW w:w="4620" w:type="dxa"/>
            <w:gridSpan w:val="5"/>
            <w:tcBorders>
              <w:right w:val="single" w:sz="4" w:space="0" w:color="auto"/>
            </w:tcBorders>
          </w:tcPr>
          <w:p w:rsidR="008D1B56" w:rsidRDefault="008D1B56" w:rsidP="008D1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SCUOLA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SECONDARIA</w:t>
            </w:r>
          </w:p>
          <w:p w:rsidR="008D1B56" w:rsidRDefault="008D1B56" w:rsidP="008D1B56">
            <w:pPr>
              <w:spacing w:after="0"/>
              <w:jc w:val="center"/>
            </w:pPr>
          </w:p>
        </w:tc>
        <w:tc>
          <w:tcPr>
            <w:tcW w:w="9191" w:type="dxa"/>
            <w:gridSpan w:val="6"/>
            <w:tcBorders>
              <w:left w:val="single" w:sz="4" w:space="0" w:color="auto"/>
            </w:tcBorders>
          </w:tcPr>
          <w:p w:rsidR="008D1B56" w:rsidRDefault="008D1B56" w:rsidP="008D1B5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FINE  SCUOLA SECONDARIA DI PRIMO GRADO</w:t>
            </w:r>
          </w:p>
          <w:p w:rsidR="008D1B56" w:rsidRDefault="008D1B56" w:rsidP="008D1B56">
            <w:pPr>
              <w:spacing w:after="0"/>
              <w:jc w:val="center"/>
            </w:pPr>
          </w:p>
        </w:tc>
      </w:tr>
      <w:tr w:rsidR="008D1B56" w:rsidTr="00EF6377">
        <w:tblPrEx>
          <w:jc w:val="left"/>
        </w:tblPrEx>
        <w:trPr>
          <w:gridBefore w:val="2"/>
          <w:wBefore w:w="386" w:type="dxa"/>
        </w:trPr>
        <w:tc>
          <w:tcPr>
            <w:tcW w:w="4613" w:type="dxa"/>
            <w:gridSpan w:val="4"/>
          </w:tcPr>
          <w:p w:rsidR="008D1B56" w:rsidRDefault="008D1B56" w:rsidP="008D1B56">
            <w:pPr>
              <w:spacing w:after="0"/>
              <w:jc w:val="center"/>
            </w:pPr>
          </w:p>
          <w:p w:rsidR="008D1B56" w:rsidRDefault="008D1B56" w:rsidP="008D1B5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7"/>
          </w:tcPr>
          <w:p w:rsidR="008D1B56" w:rsidRDefault="008D1B56" w:rsidP="008D1B56">
            <w:pPr>
              <w:spacing w:after="0"/>
              <w:jc w:val="both"/>
            </w:pPr>
          </w:p>
          <w:p w:rsidR="008D1B56" w:rsidRDefault="008D1B56" w:rsidP="008D1B56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IMPARARE A IMPARARE</w:t>
            </w:r>
          </w:p>
        </w:tc>
      </w:tr>
      <w:tr w:rsidR="008D1B56" w:rsidTr="00EF6377">
        <w:tblPrEx>
          <w:jc w:val="left"/>
        </w:tblPrEx>
        <w:trPr>
          <w:gridBefore w:val="2"/>
          <w:wBefore w:w="386" w:type="dxa"/>
        </w:trPr>
        <w:tc>
          <w:tcPr>
            <w:tcW w:w="4613" w:type="dxa"/>
            <w:gridSpan w:val="4"/>
          </w:tcPr>
          <w:p w:rsidR="008D1B56" w:rsidRDefault="008D1B56" w:rsidP="008D1B56">
            <w:pPr>
              <w:widowControl w:val="0"/>
              <w:spacing w:after="0"/>
              <w:jc w:val="center"/>
            </w:pPr>
          </w:p>
          <w:p w:rsidR="008D1B56" w:rsidRDefault="008D1B56" w:rsidP="008D1B5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7"/>
          </w:tcPr>
          <w:p w:rsidR="008D1B56" w:rsidRPr="006F2E43" w:rsidRDefault="008D1B56" w:rsidP="008D1B56">
            <w:pPr>
              <w:widowControl w:val="0"/>
              <w:spacing w:after="0"/>
            </w:pPr>
          </w:p>
          <w:p w:rsidR="008D1B56" w:rsidRPr="006F2E43" w:rsidRDefault="008D1B56" w:rsidP="008D1B56">
            <w:pPr>
              <w:widowControl w:val="0"/>
              <w:spacing w:after="0"/>
            </w:pPr>
            <w:r w:rsidRPr="006F2E43">
              <w:rPr>
                <w:rFonts w:ascii="Times New Roman" w:eastAsia="Times New Roman" w:hAnsi="Times New Roman" w:cs="Times New Roman"/>
              </w:rPr>
              <w:t>Raccomandazione del Parlamento Europeo e del Consiglio 18.12.2006</w:t>
            </w:r>
          </w:p>
          <w:p w:rsidR="008D1B56" w:rsidRPr="006F2E43" w:rsidRDefault="008D1B56" w:rsidP="006F2E43">
            <w:pPr>
              <w:widowControl w:val="0"/>
              <w:spacing w:after="0"/>
            </w:pPr>
            <w:r w:rsidRPr="006F2E43">
              <w:rPr>
                <w:rFonts w:ascii="Times New Roman" w:eastAsia="Times New Roman" w:hAnsi="Times New Roman" w:cs="Times New Roman"/>
              </w:rPr>
              <w:t>Indicazioni Nazionali per il Curricolo 2012</w:t>
            </w:r>
          </w:p>
        </w:tc>
      </w:tr>
      <w:tr w:rsidR="008D1B56" w:rsidTr="00EF6377">
        <w:tblPrEx>
          <w:jc w:val="left"/>
        </w:tblPrEx>
        <w:trPr>
          <w:gridBefore w:val="2"/>
          <w:wBefore w:w="386" w:type="dxa"/>
        </w:trPr>
        <w:tc>
          <w:tcPr>
            <w:tcW w:w="4613" w:type="dxa"/>
            <w:gridSpan w:val="4"/>
          </w:tcPr>
          <w:p w:rsidR="008D1B56" w:rsidRDefault="008D1B56" w:rsidP="008D1B5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7"/>
          </w:tcPr>
          <w:p w:rsidR="008D1B56" w:rsidRPr="008D1B56" w:rsidRDefault="008D1B56" w:rsidP="008D1B56">
            <w:pPr>
              <w:pStyle w:val="Paragrafoelenco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/>
              <w:ind w:left="202" w:hanging="235"/>
              <w:jc w:val="both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8D1B56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Acquisire ed interpretare l’informazione</w:t>
            </w:r>
          </w:p>
          <w:p w:rsidR="008D1B56" w:rsidRPr="008D1B56" w:rsidRDefault="008D1B56" w:rsidP="008D1B56">
            <w:pPr>
              <w:pStyle w:val="Paragrafoelenco"/>
              <w:numPr>
                <w:ilvl w:val="0"/>
                <w:numId w:val="8"/>
              </w:numPr>
              <w:spacing w:after="0"/>
              <w:ind w:left="202" w:hanging="235"/>
              <w:jc w:val="both"/>
            </w:pPr>
            <w:r w:rsidRPr="008D1B56">
              <w:rPr>
                <w:rFonts w:ascii="Times New Roman" w:hAnsi="Times New Roman" w:cs="Times New Roman"/>
                <w:bCs/>
              </w:rPr>
              <w:t>Individuare collegamenti e relazioni; trasferire in altri contesti</w:t>
            </w:r>
          </w:p>
          <w:p w:rsidR="008D1B56" w:rsidRPr="008D1B56" w:rsidRDefault="008D1B56" w:rsidP="008D1B56">
            <w:pPr>
              <w:pStyle w:val="Paragrafoelenco"/>
              <w:numPr>
                <w:ilvl w:val="0"/>
                <w:numId w:val="8"/>
              </w:numPr>
              <w:spacing w:after="0"/>
              <w:ind w:left="202" w:hanging="235"/>
              <w:jc w:val="both"/>
            </w:pPr>
            <w:r w:rsidRPr="008D1B56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Organizzare il proprio apprendimento, individuando, scegliendo ed utilizzando varie fonti e varie modalità di informazione e di formazione (formale, non formale ed informale), anche in funzione dei tempi disponibili, delle proprie strategie e del proprio metodo di studio e di lavoro</w:t>
            </w:r>
          </w:p>
        </w:tc>
      </w:tr>
      <w:tr w:rsidR="008D1B56" w:rsidTr="00EF6377">
        <w:tblPrEx>
          <w:jc w:val="left"/>
        </w:tblPrEx>
        <w:trPr>
          <w:gridBefore w:val="2"/>
          <w:wBefore w:w="386" w:type="dxa"/>
          <w:trHeight w:val="380"/>
        </w:trPr>
        <w:tc>
          <w:tcPr>
            <w:tcW w:w="4613" w:type="dxa"/>
            <w:gridSpan w:val="4"/>
          </w:tcPr>
          <w:p w:rsidR="008D1B56" w:rsidRDefault="008D1B56" w:rsidP="008D1B5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4"/>
            <w:tcBorders>
              <w:bottom w:val="single" w:sz="4" w:space="0" w:color="auto"/>
            </w:tcBorders>
          </w:tcPr>
          <w:p w:rsidR="008D1B56" w:rsidRDefault="008D1B56" w:rsidP="008D1B5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  <w:gridSpan w:val="3"/>
          </w:tcPr>
          <w:p w:rsidR="008D1B56" w:rsidRDefault="008D1B56" w:rsidP="008D1B5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8D1B56" w:rsidTr="00EF6377">
        <w:tblPrEx>
          <w:jc w:val="left"/>
        </w:tblPrEx>
        <w:trPr>
          <w:gridBefore w:val="2"/>
          <w:wBefore w:w="386" w:type="dxa"/>
          <w:trHeight w:val="540"/>
        </w:trPr>
        <w:tc>
          <w:tcPr>
            <w:tcW w:w="4613" w:type="dxa"/>
            <w:gridSpan w:val="4"/>
            <w:vMerge w:val="restart"/>
            <w:tcBorders>
              <w:right w:val="single" w:sz="4" w:space="0" w:color="auto"/>
            </w:tcBorders>
          </w:tcPr>
          <w:p w:rsidR="008D1B56" w:rsidRPr="00F85C4A" w:rsidRDefault="008D1B56" w:rsidP="008D1B5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F85C4A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Acquisire ed interpretare l’informazione</w:t>
            </w:r>
          </w:p>
          <w:p w:rsidR="008D1B56" w:rsidRPr="00F85C4A" w:rsidRDefault="008D1B56" w:rsidP="008D1B5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</w:p>
          <w:p w:rsidR="008D1B56" w:rsidRPr="00F85C4A" w:rsidRDefault="008D1B56" w:rsidP="008D1B56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</w:p>
          <w:p w:rsidR="008D1B56" w:rsidRPr="00F85C4A" w:rsidRDefault="008D1B56" w:rsidP="008D1B56">
            <w:pPr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</w:p>
          <w:p w:rsidR="008D1B56" w:rsidRPr="00F85C4A" w:rsidRDefault="008D1B56" w:rsidP="008D1B5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F85C4A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Individuare collegamenti e relazioni; trasferire in altri contesti</w:t>
            </w:r>
          </w:p>
          <w:p w:rsidR="008D1B56" w:rsidRPr="00F85C4A" w:rsidRDefault="008D1B56" w:rsidP="008D1B5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</w:p>
          <w:p w:rsidR="008D1B56" w:rsidRPr="00F85C4A" w:rsidRDefault="008D1B56" w:rsidP="008D1B5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</w:p>
          <w:p w:rsidR="008D1B56" w:rsidRPr="00F85C4A" w:rsidRDefault="008D1B56" w:rsidP="008D1B56">
            <w:pPr>
              <w:spacing w:after="0"/>
              <w:contextualSpacing/>
              <w:jc w:val="both"/>
            </w:pPr>
            <w:r w:rsidRPr="00F85C4A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Organizzare il proprio apprendimento, individuando, scegliendo ed utilizzando varie fonti e varie modalità di informazione e di formazione (formale, non formale ed informale), anche in funzione dei tempi disponibili, delle proprie strategie e del proprio metodo di studio e di lavoro</w:t>
            </w:r>
          </w:p>
        </w:tc>
        <w:tc>
          <w:tcPr>
            <w:tcW w:w="45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Ricavare da fonti diverse (scritte, Internet .....), Informazioni utili per i propri scopi (per la preparazione di una semplice esposizione o per scopo di studio) 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Utilizzare indici, schedari, dizionari, motori di ricerc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>a, testimonianze …</w:t>
            </w:r>
          </w:p>
          <w:p w:rsidR="008D1B56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 xml:space="preserve">Confrontare le informazioni provenienti da fonti diverse; selezionarle in base all’utilità a seconda del proprio scopo 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Individuare soluzioni per risolvere situazioni problematiche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Leggere, interpretare, costruire semplici grafici e tabelle; rielaborare e trasformare testi di varie tipologie partendo da materiale noto, sintetizzandoli anche in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85C4A">
              <w:rPr>
                <w:rFonts w:ascii="Times New Roman" w:eastAsia="Times New Roman" w:hAnsi="Times New Roman" w:cs="Times New Roman"/>
                <w:color w:val="auto"/>
              </w:rPr>
              <w:t>scalette, riassunti, semplici mappe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Utilizzare strategie di memorizzazione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Collegare nuove informazioni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 ad alcune già 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possedute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Correlare conoscenze di diverse aree costruendo semplici collegamenti e quadri di sintesi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Contestualizzare le informazioni provenienti da diverse fonti e da diverse aree disciplinari alla propria esperienza; utilizzare le informazioni nella pratica quotidiana e nella soluzione di semplici problemi di esperienza o relativi allo studio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Applica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>re strategie di studio</w:t>
            </w:r>
            <w:r w:rsidRPr="00F85C4A">
              <w:rPr>
                <w:rFonts w:ascii="Times New Roman" w:eastAsia="Times New Roman" w:hAnsi="Times New Roman" w:cs="Times New Roman"/>
                <w:color w:val="auto"/>
              </w:rPr>
              <w:t xml:space="preserve">: lettura globale; domande 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 e riflessione </w:t>
            </w:r>
            <w:r w:rsidRPr="00F85C4A">
              <w:rPr>
                <w:rFonts w:ascii="Times New Roman" w:eastAsia="Times New Roman" w:hAnsi="Times New Roman" w:cs="Times New Roman"/>
                <w:color w:val="auto"/>
              </w:rPr>
              <w:t>sul testo letto; lettura analitica, ripetizione del contenuto; ripasso del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85C4A">
              <w:rPr>
                <w:rFonts w:ascii="Times New Roman" w:eastAsia="Times New Roman" w:hAnsi="Times New Roman" w:cs="Times New Roman"/>
                <w:color w:val="auto"/>
              </w:rPr>
              <w:t>test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>o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 acquisendo un proprio metodo di lavoro.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Descrivere alcune delle proprie modalità di apprendimento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Utilizzare strategie di autocorrezione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Mantenere la concentrazione sul compito per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 i tempi necessari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Organizzare i propri impegni e disporre del materiale a seconda dell’orario sett</w:t>
            </w:r>
            <w:r w:rsidRPr="005F52B5">
              <w:rPr>
                <w:rFonts w:ascii="Times New Roman" w:eastAsia="Times New Roman" w:hAnsi="Times New Roman" w:cs="Times New Roman"/>
                <w:color w:val="auto"/>
              </w:rPr>
              <w:t>imanale e dei carichi di lavoro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>Organizzare le informazioni per riferirle ed eventualmente per la redazione di relazioni, semplici presentazioni, utilizzando anche strumenti tecnologici (programmi di scrittura)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7"/>
              </w:numPr>
              <w:spacing w:after="0"/>
              <w:ind w:left="180" w:hanging="115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85C4A">
              <w:rPr>
                <w:rFonts w:ascii="Times New Roman" w:eastAsia="Times New Roman" w:hAnsi="Times New Roman" w:cs="Times New Roman"/>
                <w:color w:val="auto"/>
              </w:rPr>
              <w:t xml:space="preserve">Trasferire conoscenze, procedure, soluzioni a contesti simili o diversi </w:t>
            </w:r>
          </w:p>
        </w:tc>
        <w:tc>
          <w:tcPr>
            <w:tcW w:w="4668" w:type="dxa"/>
            <w:gridSpan w:val="3"/>
            <w:vMerge w:val="restart"/>
            <w:tcBorders>
              <w:left w:val="single" w:sz="4" w:space="0" w:color="auto"/>
            </w:tcBorders>
          </w:tcPr>
          <w:p w:rsidR="008D1B56" w:rsidRPr="005F52B5" w:rsidRDefault="008D1B56" w:rsidP="008D1B56">
            <w:pPr>
              <w:pStyle w:val="Paragrafoelenco"/>
              <w:numPr>
                <w:ilvl w:val="0"/>
                <w:numId w:val="48"/>
              </w:numPr>
              <w:spacing w:after="0"/>
              <w:ind w:left="186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F52B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Metodologie e strumenti di ricerca dell’informazione: bibliografie, schedari, dizionari, indici, motori di ricerca, testimonianze, reperti 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8"/>
              </w:numPr>
              <w:spacing w:after="0"/>
              <w:ind w:left="186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Metodologie e strumenti di organizzazione delle informazioni: sintesi, scalette, grafici, tabelle, diagrammi, mappe concettuali 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8"/>
              </w:numPr>
              <w:spacing w:after="0"/>
              <w:ind w:left="186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Strategie di memorizzazione 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8"/>
              </w:numPr>
              <w:spacing w:after="0"/>
              <w:ind w:left="186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Strategie di studio </w:t>
            </w:r>
          </w:p>
          <w:p w:rsidR="008D1B56" w:rsidRPr="005F52B5" w:rsidRDefault="008D1B56" w:rsidP="008D1B56">
            <w:pPr>
              <w:pStyle w:val="Paragrafoelenco"/>
              <w:numPr>
                <w:ilvl w:val="0"/>
                <w:numId w:val="48"/>
              </w:numPr>
              <w:spacing w:after="0"/>
              <w:ind w:left="186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F52B5">
              <w:rPr>
                <w:rFonts w:ascii="Times New Roman" w:eastAsia="Times New Roman" w:hAnsi="Times New Roman" w:cs="Times New Roman"/>
                <w:color w:val="auto"/>
              </w:rPr>
              <w:t xml:space="preserve">Strategie di autoregolazione e di organizzazione del tempo, delle priorità, delle risorse </w:t>
            </w:r>
          </w:p>
          <w:p w:rsidR="008D1B56" w:rsidRPr="005F52B5" w:rsidRDefault="008D1B56" w:rsidP="008D1B56">
            <w:pPr>
              <w:spacing w:after="0"/>
              <w:ind w:left="186" w:hanging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1B56" w:rsidTr="00EF6377">
        <w:tblPrEx>
          <w:jc w:val="left"/>
        </w:tblPrEx>
        <w:trPr>
          <w:gridBefore w:val="2"/>
          <w:wBefore w:w="386" w:type="dxa"/>
          <w:trHeight w:val="380"/>
        </w:trPr>
        <w:tc>
          <w:tcPr>
            <w:tcW w:w="4613" w:type="dxa"/>
            <w:gridSpan w:val="4"/>
            <w:vMerge/>
            <w:tcBorders>
              <w:right w:val="single" w:sz="4" w:space="0" w:color="auto"/>
            </w:tcBorders>
          </w:tcPr>
          <w:p w:rsidR="008D1B56" w:rsidRDefault="008D1B56" w:rsidP="00455241">
            <w:pPr>
              <w:spacing w:after="0"/>
              <w:ind w:left="360"/>
              <w:contextualSpacing/>
            </w:pPr>
          </w:p>
        </w:tc>
        <w:tc>
          <w:tcPr>
            <w:tcW w:w="45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1B56" w:rsidRDefault="008D1B56" w:rsidP="00455241">
            <w:pPr>
              <w:pStyle w:val="Paragrafoelenco"/>
              <w:widowControl w:val="0"/>
              <w:spacing w:after="0"/>
              <w:ind w:left="202"/>
              <w:jc w:val="both"/>
            </w:pPr>
          </w:p>
        </w:tc>
        <w:tc>
          <w:tcPr>
            <w:tcW w:w="4668" w:type="dxa"/>
            <w:gridSpan w:val="3"/>
            <w:vMerge/>
            <w:tcBorders>
              <w:left w:val="nil"/>
            </w:tcBorders>
          </w:tcPr>
          <w:p w:rsidR="008D1B56" w:rsidRDefault="008D1B56" w:rsidP="00455241">
            <w:pPr>
              <w:spacing w:after="0"/>
            </w:pPr>
          </w:p>
        </w:tc>
      </w:tr>
      <w:tr w:rsidR="008D1B56" w:rsidTr="00EF6377">
        <w:tblPrEx>
          <w:jc w:val="left"/>
        </w:tblPrEx>
        <w:trPr>
          <w:gridBefore w:val="2"/>
          <w:wBefore w:w="386" w:type="dxa"/>
          <w:trHeight w:val="380"/>
        </w:trPr>
        <w:tc>
          <w:tcPr>
            <w:tcW w:w="4613" w:type="dxa"/>
            <w:gridSpan w:val="4"/>
            <w:vMerge/>
            <w:tcBorders>
              <w:right w:val="single" w:sz="4" w:space="0" w:color="auto"/>
            </w:tcBorders>
          </w:tcPr>
          <w:p w:rsidR="008D1B56" w:rsidRDefault="008D1B56" w:rsidP="00455241">
            <w:pPr>
              <w:spacing w:after="0"/>
              <w:ind w:left="360"/>
              <w:contextualSpacing/>
            </w:pPr>
          </w:p>
        </w:tc>
        <w:tc>
          <w:tcPr>
            <w:tcW w:w="4530" w:type="dxa"/>
            <w:gridSpan w:val="4"/>
            <w:tcBorders>
              <w:top w:val="nil"/>
              <w:left w:val="single" w:sz="4" w:space="0" w:color="auto"/>
            </w:tcBorders>
          </w:tcPr>
          <w:p w:rsidR="008D1B56" w:rsidRDefault="008D1B56" w:rsidP="00455241">
            <w:pPr>
              <w:spacing w:after="0"/>
              <w:jc w:val="both"/>
            </w:pPr>
          </w:p>
        </w:tc>
        <w:tc>
          <w:tcPr>
            <w:tcW w:w="4668" w:type="dxa"/>
            <w:gridSpan w:val="3"/>
            <w:vMerge/>
          </w:tcPr>
          <w:p w:rsidR="008D1B56" w:rsidRDefault="008D1B56" w:rsidP="00455241">
            <w:pPr>
              <w:spacing w:after="0"/>
            </w:pPr>
          </w:p>
        </w:tc>
      </w:tr>
      <w:tr w:rsidR="00EF6377" w:rsidTr="00EF6377">
        <w:trPr>
          <w:gridAfter w:val="2"/>
          <w:wAfter w:w="386" w:type="dxa"/>
          <w:jc w:val="center"/>
        </w:trPr>
        <w:tc>
          <w:tcPr>
            <w:tcW w:w="4605" w:type="dxa"/>
            <w:gridSpan w:val="3"/>
            <w:tcBorders>
              <w:right w:val="single" w:sz="4" w:space="0" w:color="auto"/>
            </w:tcBorders>
          </w:tcPr>
          <w:p w:rsidR="00EF6377" w:rsidRPr="00C96CCC" w:rsidRDefault="00EF6377" w:rsidP="00EF6377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SECONDARIA</w:t>
            </w:r>
          </w:p>
        </w:tc>
        <w:tc>
          <w:tcPr>
            <w:tcW w:w="9206" w:type="dxa"/>
            <w:gridSpan w:val="8"/>
            <w:tcBorders>
              <w:left w:val="single" w:sz="4" w:space="0" w:color="auto"/>
            </w:tcBorders>
          </w:tcPr>
          <w:p w:rsidR="00EF6377" w:rsidRDefault="00EF6377" w:rsidP="00EF6377">
            <w:pPr>
              <w:spacing w:after="0"/>
              <w:ind w:left="2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FINE  SCUOLA SECONDARIA DI PRIMO GRADO</w:t>
            </w:r>
          </w:p>
          <w:p w:rsidR="00EF6377" w:rsidRDefault="00EF6377" w:rsidP="00EF6377">
            <w:pPr>
              <w:spacing w:after="0"/>
              <w:jc w:val="center"/>
            </w:pPr>
          </w:p>
        </w:tc>
      </w:tr>
      <w:tr w:rsidR="00EF6377" w:rsidTr="00EF6377">
        <w:trPr>
          <w:gridAfter w:val="2"/>
          <w:wAfter w:w="386" w:type="dxa"/>
          <w:jc w:val="center"/>
        </w:trPr>
        <w:tc>
          <w:tcPr>
            <w:tcW w:w="4613" w:type="dxa"/>
            <w:gridSpan w:val="4"/>
            <w:tcBorders>
              <w:right w:val="single" w:sz="4" w:space="0" w:color="auto"/>
            </w:tcBorders>
          </w:tcPr>
          <w:p w:rsidR="00EF6377" w:rsidRDefault="00EF6377" w:rsidP="00EF6377">
            <w:pPr>
              <w:spacing w:after="0"/>
              <w:jc w:val="center"/>
            </w:pPr>
          </w:p>
          <w:p w:rsidR="00EF6377" w:rsidRDefault="00EF6377" w:rsidP="00EF637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7"/>
            <w:tcBorders>
              <w:left w:val="single" w:sz="4" w:space="0" w:color="auto"/>
            </w:tcBorders>
          </w:tcPr>
          <w:p w:rsidR="00EF6377" w:rsidRDefault="00EF6377" w:rsidP="00EF6377">
            <w:pPr>
              <w:spacing w:after="0"/>
              <w:jc w:val="both"/>
            </w:pPr>
          </w:p>
          <w:p w:rsidR="00EF6377" w:rsidRPr="00556D12" w:rsidRDefault="00EF6377" w:rsidP="00EF63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56D1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SPIRITO DI INIZIATIVA E IMPRENDITORIALITA’ </w:t>
            </w:r>
          </w:p>
        </w:tc>
      </w:tr>
      <w:tr w:rsidR="00EF6377" w:rsidTr="00EF6377">
        <w:trPr>
          <w:gridAfter w:val="2"/>
          <w:wAfter w:w="386" w:type="dxa"/>
          <w:jc w:val="center"/>
        </w:trPr>
        <w:tc>
          <w:tcPr>
            <w:tcW w:w="4613" w:type="dxa"/>
            <w:gridSpan w:val="4"/>
          </w:tcPr>
          <w:p w:rsidR="00EF6377" w:rsidRDefault="00EF6377" w:rsidP="00EF6377">
            <w:pPr>
              <w:widowControl w:val="0"/>
              <w:spacing w:after="0"/>
              <w:jc w:val="center"/>
            </w:pPr>
          </w:p>
          <w:p w:rsidR="00EF6377" w:rsidRDefault="00EF6377" w:rsidP="00EF6377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7"/>
          </w:tcPr>
          <w:p w:rsidR="00EF6377" w:rsidRDefault="00EF6377" w:rsidP="00EF6377">
            <w:pPr>
              <w:widowControl w:val="0"/>
              <w:spacing w:after="0"/>
            </w:pPr>
          </w:p>
          <w:p w:rsidR="00EF6377" w:rsidRDefault="00EF6377" w:rsidP="00EF6377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EF6377" w:rsidRDefault="00EF6377" w:rsidP="00EF6377">
            <w:pPr>
              <w:widowControl w:val="0"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</w:tc>
      </w:tr>
      <w:tr w:rsidR="00EF6377" w:rsidTr="00EF6377">
        <w:trPr>
          <w:gridAfter w:val="2"/>
          <w:wAfter w:w="386" w:type="dxa"/>
          <w:jc w:val="center"/>
        </w:trPr>
        <w:tc>
          <w:tcPr>
            <w:tcW w:w="4613" w:type="dxa"/>
            <w:gridSpan w:val="4"/>
          </w:tcPr>
          <w:p w:rsidR="00EF6377" w:rsidRDefault="00EF6377" w:rsidP="00EF6377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7"/>
          </w:tcPr>
          <w:p w:rsidR="00EF6377" w:rsidRPr="002337F1" w:rsidRDefault="00EF6377" w:rsidP="00EF6377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>Effettuare valutazioni rispetto alle informazioni, ai compiti, al proprio lavoro, al contesto; valutare alternative, prendere decisioni</w:t>
            </w:r>
          </w:p>
          <w:p w:rsidR="00EF6377" w:rsidRPr="002337F1" w:rsidRDefault="00EF6377" w:rsidP="00EF6377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>Assumere e portare a termine compiti e iniziative</w:t>
            </w:r>
          </w:p>
          <w:p w:rsidR="00EF6377" w:rsidRPr="002337F1" w:rsidRDefault="00EF6377" w:rsidP="00EF6377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>Pianificare e organizzare il proprio lavoro; realizzare semplici progetti</w:t>
            </w:r>
          </w:p>
          <w:p w:rsidR="00EF6377" w:rsidRPr="00D30B91" w:rsidRDefault="00EF6377" w:rsidP="00EF6377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87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Trovare soluzioni nuove a problemi di esperienza; adottare strategie di </w:t>
            </w:r>
            <w:proofErr w:type="spellStart"/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>problem</w:t>
            </w:r>
            <w:proofErr w:type="spellEnd"/>
            <w:r w:rsidRPr="002337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solving</w:t>
            </w:r>
          </w:p>
        </w:tc>
      </w:tr>
      <w:tr w:rsidR="00EF6377" w:rsidTr="00EF6377">
        <w:trPr>
          <w:gridAfter w:val="2"/>
          <w:wAfter w:w="386" w:type="dxa"/>
          <w:trHeight w:val="380"/>
          <w:jc w:val="center"/>
        </w:trPr>
        <w:tc>
          <w:tcPr>
            <w:tcW w:w="4613" w:type="dxa"/>
            <w:gridSpan w:val="4"/>
          </w:tcPr>
          <w:p w:rsidR="00EF6377" w:rsidRDefault="00EF6377" w:rsidP="0045524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4"/>
            <w:tcBorders>
              <w:bottom w:val="single" w:sz="4" w:space="0" w:color="000000"/>
            </w:tcBorders>
          </w:tcPr>
          <w:p w:rsidR="00EF6377" w:rsidRDefault="00EF6377" w:rsidP="0045524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  <w:gridSpan w:val="3"/>
          </w:tcPr>
          <w:p w:rsidR="00EF6377" w:rsidRDefault="00EF6377" w:rsidP="0045524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EF6377" w:rsidRPr="009D23D1" w:rsidTr="00EF6377">
        <w:trPr>
          <w:gridAfter w:val="2"/>
          <w:wAfter w:w="386" w:type="dxa"/>
          <w:trHeight w:val="540"/>
          <w:jc w:val="center"/>
        </w:trPr>
        <w:tc>
          <w:tcPr>
            <w:tcW w:w="4613" w:type="dxa"/>
            <w:gridSpan w:val="4"/>
          </w:tcPr>
          <w:p w:rsidR="00EF6377" w:rsidRPr="009D23D1" w:rsidRDefault="00EF6377" w:rsidP="00455241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</w:rPr>
            </w:pPr>
            <w:r w:rsidRPr="009D23D1">
              <w:rPr>
                <w:rFonts w:ascii="Times New Roman" w:hAnsi="Times New Roman" w:cs="Times New Roman"/>
                <w:bCs/>
              </w:rPr>
              <w:t>Effettuare valutazioni rispetto alle informazioni, ai compiti, al proprio lavoro, al contesto; valutare alternative, prendere decisioni</w:t>
            </w:r>
          </w:p>
          <w:p w:rsidR="00EF6377" w:rsidRPr="009D23D1" w:rsidRDefault="00EF6377" w:rsidP="00455241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</w:rPr>
            </w:pPr>
          </w:p>
          <w:p w:rsidR="00EF6377" w:rsidRPr="009D23D1" w:rsidRDefault="00EF6377" w:rsidP="00455241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</w:rPr>
            </w:pPr>
            <w:r w:rsidRPr="009D23D1">
              <w:rPr>
                <w:rFonts w:ascii="Times New Roman" w:hAnsi="Times New Roman" w:cs="Times New Roman"/>
                <w:bCs/>
              </w:rPr>
              <w:t>Assumere e portare a termine compiti e iniziative</w:t>
            </w:r>
          </w:p>
          <w:p w:rsidR="00EF6377" w:rsidRPr="009D23D1" w:rsidRDefault="00EF6377" w:rsidP="00455241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</w:rPr>
            </w:pPr>
          </w:p>
          <w:p w:rsidR="00EF6377" w:rsidRPr="009D23D1" w:rsidRDefault="00EF6377" w:rsidP="00455241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</w:rPr>
            </w:pPr>
          </w:p>
          <w:p w:rsidR="00EF6377" w:rsidRPr="009D23D1" w:rsidRDefault="00EF6377" w:rsidP="00455241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</w:rPr>
            </w:pPr>
            <w:r w:rsidRPr="009D23D1">
              <w:rPr>
                <w:rFonts w:ascii="Times New Roman" w:hAnsi="Times New Roman" w:cs="Times New Roman"/>
                <w:bCs/>
              </w:rPr>
              <w:t>Pianificare e organizzare il proprio lavoro; realizzare semplici progetti</w:t>
            </w:r>
          </w:p>
          <w:p w:rsidR="00EF6377" w:rsidRPr="009D23D1" w:rsidRDefault="00EF6377" w:rsidP="00455241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</w:rPr>
            </w:pPr>
          </w:p>
          <w:p w:rsidR="00EF6377" w:rsidRPr="009D23D1" w:rsidRDefault="00EF6377" w:rsidP="00455241">
            <w:pPr>
              <w:autoSpaceDE w:val="0"/>
              <w:autoSpaceDN w:val="0"/>
              <w:adjustRightInd w:val="0"/>
              <w:ind w:left="-120"/>
              <w:jc w:val="both"/>
              <w:rPr>
                <w:rFonts w:ascii="Times New Roman" w:hAnsi="Times New Roman" w:cs="Times New Roman"/>
                <w:bCs/>
              </w:rPr>
            </w:pPr>
            <w:r w:rsidRPr="009D23D1">
              <w:rPr>
                <w:rFonts w:ascii="Times New Roman" w:hAnsi="Times New Roman" w:cs="Times New Roman"/>
                <w:bCs/>
              </w:rPr>
              <w:t xml:space="preserve">Trovare soluzioni nuove a problemi di esperienza; adottare strategie di </w:t>
            </w:r>
            <w:proofErr w:type="spellStart"/>
            <w:r w:rsidRPr="009D23D1">
              <w:rPr>
                <w:rFonts w:ascii="Times New Roman" w:hAnsi="Times New Roman" w:cs="Times New Roman"/>
                <w:bCs/>
              </w:rPr>
              <w:t>problem</w:t>
            </w:r>
            <w:proofErr w:type="spellEnd"/>
            <w:r w:rsidRPr="009D23D1">
              <w:rPr>
                <w:rFonts w:ascii="Times New Roman" w:hAnsi="Times New Roman" w:cs="Times New Roman"/>
                <w:bCs/>
              </w:rPr>
              <w:t xml:space="preserve"> solving</w:t>
            </w:r>
            <w:r w:rsidRPr="009D23D1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4530" w:type="dxa"/>
            <w:gridSpan w:val="4"/>
            <w:tcBorders>
              <w:bottom w:val="single" w:sz="4" w:space="0" w:color="auto"/>
            </w:tcBorders>
          </w:tcPr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Assumere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un comportamento funzionale alle diverse situazioni (nel rispetto dei principi democratici)</w:t>
            </w: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Pianificare azioni nell’ambito personale e del lavoro, individuando le priorità, giustificando le scelte e valutando gli esiti, reperendo anche possibili correttivi a quelli non soddisfacenti.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Descrivere le modalità con cui si sono operate le scelte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Utilizzare strumenti di supporto alle decisioni.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Discutere e argomentare in gruppo i criteri e le motivazioni delle scelte mettendo in luce fatti, rischi, opportunità e ascoltando le motivazioni altrui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Individuare elementi certi, possibili, probabili, ignoti nel momento di effettuare le </w:t>
            </w:r>
            <w:r w:rsidRPr="009D23D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scelte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Scomporre una semplice procedura nelle sue fasi e distribuirle nel tempo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Descrivere le fasi di un esperimento, di un compito, di una procedura da svolgere o svolti </w:t>
            </w:r>
          </w:p>
          <w:p w:rsidR="00EF6377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Organizzare i propri impegni giornalieri e settimanali individuando alcune priorità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Pianificare un metodo di studio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Pianificare l’esecuzione di un compito legato all’esperienza e a contesti noti, descrivendo le fasi, distribuendole nel tempo, individuando le risorse materiali e di lavoro necessarie e indicando quelle mancanti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Progettare ed eseguire semplici manufatti artistici e tecnologici; organizzare eventi legati alla vita scolastica (feste, mostre, piccole uscite e visite) in gruppo e con l’aiuto degli insegnanti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Calcolare i costi di un progetto e individuare modalità di reperimento delle risorse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Individuare problemi legati alla pratica e al lavoro quotidiano e indicare ipotesi di soluzione plausibili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Scegliere le soluzioni ritenute più vantaggiose e motivare la scelta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Attuare le soluzioni e valutare i risultati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Suggerire percorsi di correzione o miglioramento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Generalizzare soluzioni idonee a problemi simili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49"/>
              </w:numPr>
              <w:ind w:left="280" w:hanging="280"/>
              <w:jc w:val="both"/>
              <w:rPr>
                <w:rFonts w:ascii="Times New Roman" w:hAnsi="Times New Roman" w:cs="Times New Roman"/>
                <w:color w:val="231F20"/>
                <w:lang w:eastAsia="en-US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>Trovare soluzioni nuove a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i</w:t>
            </w: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problemi.</w:t>
            </w:r>
          </w:p>
        </w:tc>
        <w:tc>
          <w:tcPr>
            <w:tcW w:w="4668" w:type="dxa"/>
            <w:gridSpan w:val="3"/>
          </w:tcPr>
          <w:p w:rsidR="00EF6377" w:rsidRPr="009D23D1" w:rsidRDefault="00EF6377" w:rsidP="00EF6377">
            <w:pPr>
              <w:pStyle w:val="Paragrafoelenco"/>
              <w:numPr>
                <w:ilvl w:val="0"/>
                <w:numId w:val="50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Fasi del </w:t>
            </w:r>
            <w:proofErr w:type="spellStart"/>
            <w:r w:rsidRPr="009D23D1">
              <w:rPr>
                <w:rFonts w:ascii="Times New Roman" w:eastAsia="Times New Roman" w:hAnsi="Times New Roman" w:cs="Times New Roman"/>
                <w:color w:val="auto"/>
              </w:rPr>
              <w:t>problem</w:t>
            </w:r>
            <w:proofErr w:type="spellEnd"/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 solving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50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Organizzazione di un’agenda giornaliera e settimanale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50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Le fasi di una procedura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50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Strumenti di progettazione: disegno tecnico; planning; semplici bilanci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50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Diagrammi di flusso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50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Strumenti per la decisione: tabella pro-contro; diagrammi di flusso; diagrammi di </w:t>
            </w:r>
            <w:proofErr w:type="spellStart"/>
            <w:r w:rsidRPr="009D23D1">
              <w:rPr>
                <w:rFonts w:ascii="Times New Roman" w:eastAsia="Times New Roman" w:hAnsi="Times New Roman" w:cs="Times New Roman"/>
                <w:color w:val="auto"/>
              </w:rPr>
              <w:t>Ishikawa</w:t>
            </w:r>
            <w:proofErr w:type="spellEnd"/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; tabelle </w:t>
            </w:r>
            <w:proofErr w:type="spellStart"/>
            <w:r w:rsidRPr="009D23D1">
              <w:rPr>
                <w:rFonts w:ascii="Times New Roman" w:eastAsia="Times New Roman" w:hAnsi="Times New Roman" w:cs="Times New Roman"/>
                <w:color w:val="auto"/>
              </w:rPr>
              <w:t>multicriteriali</w:t>
            </w:r>
            <w:proofErr w:type="spellEnd"/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50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Modalità di decisione riflessiva </w:t>
            </w:r>
          </w:p>
          <w:p w:rsidR="00EF6377" w:rsidRPr="009D23D1" w:rsidRDefault="00EF6377" w:rsidP="00EF6377">
            <w:pPr>
              <w:pStyle w:val="Paragrafoelenco"/>
              <w:numPr>
                <w:ilvl w:val="0"/>
                <w:numId w:val="50"/>
              </w:numPr>
              <w:ind w:left="286" w:hanging="283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D23D1">
              <w:rPr>
                <w:rFonts w:ascii="Times New Roman" w:eastAsia="Times New Roman" w:hAnsi="Times New Roman" w:cs="Times New Roman"/>
                <w:color w:val="auto"/>
              </w:rPr>
              <w:t xml:space="preserve">Strategie di argomentazione e di comunicazione assertiva </w:t>
            </w:r>
          </w:p>
          <w:p w:rsidR="00EF6377" w:rsidRPr="009D23D1" w:rsidRDefault="00EF6377" w:rsidP="00455241">
            <w:pPr>
              <w:spacing w:line="360" w:lineRule="auto"/>
              <w:ind w:left="286" w:hanging="28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5634D3" w:rsidRDefault="005634D3" w:rsidP="008D1B56">
      <w:pPr>
        <w:ind w:left="426"/>
      </w:pPr>
    </w:p>
    <w:sectPr w:rsidR="005634D3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120"/>
    <w:multiLevelType w:val="hybridMultilevel"/>
    <w:tmpl w:val="81EE0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35D15"/>
    <w:multiLevelType w:val="hybridMultilevel"/>
    <w:tmpl w:val="928EC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F2A89"/>
    <w:multiLevelType w:val="hybridMultilevel"/>
    <w:tmpl w:val="14661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E009F"/>
    <w:multiLevelType w:val="hybridMultilevel"/>
    <w:tmpl w:val="F4D2E5F4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16419"/>
    <w:multiLevelType w:val="hybridMultilevel"/>
    <w:tmpl w:val="BAE2E58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79631BA"/>
    <w:multiLevelType w:val="hybridMultilevel"/>
    <w:tmpl w:val="C9A8E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34FCF"/>
    <w:multiLevelType w:val="hybridMultilevel"/>
    <w:tmpl w:val="BFFE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41668"/>
    <w:multiLevelType w:val="hybridMultilevel"/>
    <w:tmpl w:val="C9623950"/>
    <w:lvl w:ilvl="0" w:tplc="3B9A0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19DA"/>
    <w:multiLevelType w:val="hybridMultilevel"/>
    <w:tmpl w:val="0DFE38D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1002403D"/>
    <w:multiLevelType w:val="hybridMultilevel"/>
    <w:tmpl w:val="37148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900A1"/>
    <w:multiLevelType w:val="multilevel"/>
    <w:tmpl w:val="8E9206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12D6457D"/>
    <w:multiLevelType w:val="hybridMultilevel"/>
    <w:tmpl w:val="0B9483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FD17AE"/>
    <w:multiLevelType w:val="hybridMultilevel"/>
    <w:tmpl w:val="36304928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16FF5B0D"/>
    <w:multiLevelType w:val="hybridMultilevel"/>
    <w:tmpl w:val="AC0E0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B1744"/>
    <w:multiLevelType w:val="hybridMultilevel"/>
    <w:tmpl w:val="7F4E6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86AF4"/>
    <w:multiLevelType w:val="hybridMultilevel"/>
    <w:tmpl w:val="C972D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C706B"/>
    <w:multiLevelType w:val="hybridMultilevel"/>
    <w:tmpl w:val="0DC21B0A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073ABB"/>
    <w:multiLevelType w:val="hybridMultilevel"/>
    <w:tmpl w:val="D0DE5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CD7336"/>
    <w:multiLevelType w:val="hybridMultilevel"/>
    <w:tmpl w:val="4162AA7E"/>
    <w:lvl w:ilvl="0" w:tplc="0410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9" w15:restartNumberingAfterBreak="0">
    <w:nsid w:val="22ED0F0C"/>
    <w:multiLevelType w:val="hybridMultilevel"/>
    <w:tmpl w:val="DDAA4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2B5224"/>
    <w:multiLevelType w:val="hybridMultilevel"/>
    <w:tmpl w:val="069CE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FC1005"/>
    <w:multiLevelType w:val="hybridMultilevel"/>
    <w:tmpl w:val="8542B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D20B46"/>
    <w:multiLevelType w:val="hybridMultilevel"/>
    <w:tmpl w:val="E5849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F845FC"/>
    <w:multiLevelType w:val="hybridMultilevel"/>
    <w:tmpl w:val="4B0C5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118BC"/>
    <w:multiLevelType w:val="hybridMultilevel"/>
    <w:tmpl w:val="588A0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E808B1"/>
    <w:multiLevelType w:val="hybridMultilevel"/>
    <w:tmpl w:val="78C0F0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6FD4E20"/>
    <w:multiLevelType w:val="hybridMultilevel"/>
    <w:tmpl w:val="AC7A3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A57850"/>
    <w:multiLevelType w:val="hybridMultilevel"/>
    <w:tmpl w:val="37F4D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736845"/>
    <w:multiLevelType w:val="hybridMultilevel"/>
    <w:tmpl w:val="F2CAC7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3AF471E"/>
    <w:multiLevelType w:val="hybridMultilevel"/>
    <w:tmpl w:val="0FA8F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1D2ECE"/>
    <w:multiLevelType w:val="hybridMultilevel"/>
    <w:tmpl w:val="827C2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3340AA"/>
    <w:multiLevelType w:val="hybridMultilevel"/>
    <w:tmpl w:val="F4E2346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BD91168"/>
    <w:multiLevelType w:val="hybridMultilevel"/>
    <w:tmpl w:val="06F4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A492E"/>
    <w:multiLevelType w:val="hybridMultilevel"/>
    <w:tmpl w:val="68FAD9C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591131D9"/>
    <w:multiLevelType w:val="hybridMultilevel"/>
    <w:tmpl w:val="0EE48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DD2B97"/>
    <w:multiLevelType w:val="hybridMultilevel"/>
    <w:tmpl w:val="EC9E0A32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453F2C"/>
    <w:multiLevelType w:val="hybridMultilevel"/>
    <w:tmpl w:val="9304A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C3ED3"/>
    <w:multiLevelType w:val="hybridMultilevel"/>
    <w:tmpl w:val="E3722FA8"/>
    <w:lvl w:ilvl="0" w:tplc="0410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8" w15:restartNumberingAfterBreak="0">
    <w:nsid w:val="64D631F7"/>
    <w:multiLevelType w:val="hybridMultilevel"/>
    <w:tmpl w:val="0D2CC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6436E2"/>
    <w:multiLevelType w:val="hybridMultilevel"/>
    <w:tmpl w:val="E3667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277DA4"/>
    <w:multiLevelType w:val="hybridMultilevel"/>
    <w:tmpl w:val="A636D70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570855"/>
    <w:multiLevelType w:val="hybridMultilevel"/>
    <w:tmpl w:val="906C0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53040A"/>
    <w:multiLevelType w:val="hybridMultilevel"/>
    <w:tmpl w:val="412A7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1488B"/>
    <w:multiLevelType w:val="hybridMultilevel"/>
    <w:tmpl w:val="8612E4F0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 w15:restartNumberingAfterBreak="0">
    <w:nsid w:val="7532535B"/>
    <w:multiLevelType w:val="hybridMultilevel"/>
    <w:tmpl w:val="46825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870B87"/>
    <w:multiLevelType w:val="hybridMultilevel"/>
    <w:tmpl w:val="C0DE805A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6" w15:restartNumberingAfterBreak="0">
    <w:nsid w:val="791A31DC"/>
    <w:multiLevelType w:val="hybridMultilevel"/>
    <w:tmpl w:val="2780C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42150"/>
    <w:multiLevelType w:val="multilevel"/>
    <w:tmpl w:val="5FB8A1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8" w15:restartNumberingAfterBreak="0">
    <w:nsid w:val="7D8D52E3"/>
    <w:multiLevelType w:val="hybridMultilevel"/>
    <w:tmpl w:val="22324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EA2295"/>
    <w:multiLevelType w:val="hybridMultilevel"/>
    <w:tmpl w:val="DD50E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10"/>
  </w:num>
  <w:num w:numId="3">
    <w:abstractNumId w:val="40"/>
  </w:num>
  <w:num w:numId="4">
    <w:abstractNumId w:val="21"/>
  </w:num>
  <w:num w:numId="5">
    <w:abstractNumId w:val="3"/>
  </w:num>
  <w:num w:numId="6">
    <w:abstractNumId w:val="48"/>
  </w:num>
  <w:num w:numId="7">
    <w:abstractNumId w:val="16"/>
  </w:num>
  <w:num w:numId="8">
    <w:abstractNumId w:val="27"/>
  </w:num>
  <w:num w:numId="9">
    <w:abstractNumId w:val="24"/>
  </w:num>
  <w:num w:numId="10">
    <w:abstractNumId w:val="5"/>
  </w:num>
  <w:num w:numId="11">
    <w:abstractNumId w:val="41"/>
  </w:num>
  <w:num w:numId="12">
    <w:abstractNumId w:val="4"/>
  </w:num>
  <w:num w:numId="13">
    <w:abstractNumId w:val="23"/>
  </w:num>
  <w:num w:numId="14">
    <w:abstractNumId w:val="8"/>
  </w:num>
  <w:num w:numId="15">
    <w:abstractNumId w:val="33"/>
  </w:num>
  <w:num w:numId="16">
    <w:abstractNumId w:val="1"/>
  </w:num>
  <w:num w:numId="17">
    <w:abstractNumId w:val="45"/>
  </w:num>
  <w:num w:numId="18">
    <w:abstractNumId w:val="30"/>
  </w:num>
  <w:num w:numId="19">
    <w:abstractNumId w:val="43"/>
  </w:num>
  <w:num w:numId="20">
    <w:abstractNumId w:val="12"/>
  </w:num>
  <w:num w:numId="21">
    <w:abstractNumId w:val="44"/>
  </w:num>
  <w:num w:numId="22">
    <w:abstractNumId w:val="17"/>
  </w:num>
  <w:num w:numId="23">
    <w:abstractNumId w:val="32"/>
  </w:num>
  <w:num w:numId="24">
    <w:abstractNumId w:val="37"/>
  </w:num>
  <w:num w:numId="25">
    <w:abstractNumId w:val="49"/>
  </w:num>
  <w:num w:numId="26">
    <w:abstractNumId w:val="2"/>
  </w:num>
  <w:num w:numId="27">
    <w:abstractNumId w:val="6"/>
  </w:num>
  <w:num w:numId="28">
    <w:abstractNumId w:val="0"/>
  </w:num>
  <w:num w:numId="29">
    <w:abstractNumId w:val="29"/>
  </w:num>
  <w:num w:numId="30">
    <w:abstractNumId w:val="20"/>
  </w:num>
  <w:num w:numId="31">
    <w:abstractNumId w:val="35"/>
  </w:num>
  <w:num w:numId="32">
    <w:abstractNumId w:val="25"/>
  </w:num>
  <w:num w:numId="33">
    <w:abstractNumId w:val="31"/>
  </w:num>
  <w:num w:numId="34">
    <w:abstractNumId w:val="18"/>
  </w:num>
  <w:num w:numId="35">
    <w:abstractNumId w:val="28"/>
  </w:num>
  <w:num w:numId="36">
    <w:abstractNumId w:val="11"/>
  </w:num>
  <w:num w:numId="37">
    <w:abstractNumId w:val="39"/>
  </w:num>
  <w:num w:numId="38">
    <w:abstractNumId w:val="9"/>
  </w:num>
  <w:num w:numId="39">
    <w:abstractNumId w:val="22"/>
  </w:num>
  <w:num w:numId="40">
    <w:abstractNumId w:val="7"/>
  </w:num>
  <w:num w:numId="41">
    <w:abstractNumId w:val="14"/>
  </w:num>
  <w:num w:numId="42">
    <w:abstractNumId w:val="19"/>
  </w:num>
  <w:num w:numId="43">
    <w:abstractNumId w:val="46"/>
  </w:num>
  <w:num w:numId="44">
    <w:abstractNumId w:val="36"/>
  </w:num>
  <w:num w:numId="45">
    <w:abstractNumId w:val="34"/>
  </w:num>
  <w:num w:numId="46">
    <w:abstractNumId w:val="15"/>
  </w:num>
  <w:num w:numId="47">
    <w:abstractNumId w:val="38"/>
  </w:num>
  <w:num w:numId="48">
    <w:abstractNumId w:val="13"/>
  </w:num>
  <w:num w:numId="49">
    <w:abstractNumId w:val="26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FF"/>
    <w:rsid w:val="00011AFE"/>
    <w:rsid w:val="00053005"/>
    <w:rsid w:val="000969C8"/>
    <w:rsid w:val="000F1C1B"/>
    <w:rsid w:val="00105220"/>
    <w:rsid w:val="001775C3"/>
    <w:rsid w:val="00193D2A"/>
    <w:rsid w:val="001A584F"/>
    <w:rsid w:val="002475A8"/>
    <w:rsid w:val="002C4927"/>
    <w:rsid w:val="003A344F"/>
    <w:rsid w:val="00402CFF"/>
    <w:rsid w:val="00481D89"/>
    <w:rsid w:val="00515BD4"/>
    <w:rsid w:val="005634D3"/>
    <w:rsid w:val="005961E8"/>
    <w:rsid w:val="0068465A"/>
    <w:rsid w:val="006F2454"/>
    <w:rsid w:val="006F2E43"/>
    <w:rsid w:val="00713E14"/>
    <w:rsid w:val="00737D0F"/>
    <w:rsid w:val="007914AE"/>
    <w:rsid w:val="007A3123"/>
    <w:rsid w:val="00831CEB"/>
    <w:rsid w:val="00845D84"/>
    <w:rsid w:val="008948ED"/>
    <w:rsid w:val="008C472B"/>
    <w:rsid w:val="008D1B56"/>
    <w:rsid w:val="00901A21"/>
    <w:rsid w:val="00915765"/>
    <w:rsid w:val="00922AAA"/>
    <w:rsid w:val="00960CC8"/>
    <w:rsid w:val="00962790"/>
    <w:rsid w:val="009E290A"/>
    <w:rsid w:val="00A543C1"/>
    <w:rsid w:val="00B05CB7"/>
    <w:rsid w:val="00B756B2"/>
    <w:rsid w:val="00B90A39"/>
    <w:rsid w:val="00B96CFC"/>
    <w:rsid w:val="00B97853"/>
    <w:rsid w:val="00BF256C"/>
    <w:rsid w:val="00C2493B"/>
    <w:rsid w:val="00C76919"/>
    <w:rsid w:val="00C96CCC"/>
    <w:rsid w:val="00D319AC"/>
    <w:rsid w:val="00D455E2"/>
    <w:rsid w:val="00D63E09"/>
    <w:rsid w:val="00D728DD"/>
    <w:rsid w:val="00E00EEA"/>
    <w:rsid w:val="00E3514D"/>
    <w:rsid w:val="00E40994"/>
    <w:rsid w:val="00E969FB"/>
    <w:rsid w:val="00EF6377"/>
    <w:rsid w:val="00FE03E1"/>
    <w:rsid w:val="00F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15521-2F76-4812-8919-3FAA4E2E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rsid w:val="006F2454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666666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0F1C1B"/>
    <w:pPr>
      <w:ind w:left="720"/>
      <w:contextualSpacing/>
    </w:pPr>
  </w:style>
  <w:style w:type="character" w:customStyle="1" w:styleId="Normale1">
    <w:name w:val="Normale1"/>
    <w:uiPriority w:val="99"/>
    <w:rsid w:val="00105220"/>
    <w:rPr>
      <w:rFonts w:ascii="Times New Roman" w:hAnsi="Times New Roman"/>
      <w:sz w:val="22"/>
    </w:rPr>
  </w:style>
  <w:style w:type="character" w:customStyle="1" w:styleId="SottotitoloCarattere">
    <w:name w:val="Sottotitolo Carattere"/>
    <w:link w:val="Sottotitolo"/>
    <w:uiPriority w:val="11"/>
    <w:rsid w:val="00E00EEA"/>
    <w:rPr>
      <w:rFonts w:ascii="Times New Roman" w:eastAsia="Times New Roman" w:hAnsi="Times New Roman" w:cs="Times New Roman"/>
      <w:b/>
      <w:i/>
      <w:color w:val="66666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ANNA MIGLIACCIO</cp:lastModifiedBy>
  <cp:revision>2</cp:revision>
  <dcterms:created xsi:type="dcterms:W3CDTF">2017-03-06T16:57:00Z</dcterms:created>
  <dcterms:modified xsi:type="dcterms:W3CDTF">2017-03-06T16:57:00Z</dcterms:modified>
</cp:coreProperties>
</file>